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667EEA" w:val="clear"/>
        <w:spacing w:before="1440" w:after="400"/>
        <w:jc w:val="center"/>
      </w:pPr>
      <w:r>
        <w:rPr>
          <w:rFonts w:ascii="Arial" w:cs="Arial" w:eastAsia="Arial" w:hAnsi="Arial"/>
          <w:b/>
          <w:bCs/>
          <w:color w:val="FFFFFF"/>
          <w:sz w:val="52"/>
          <w:szCs w:val="52"/>
        </w:rPr>
        <w:t xml:space="preserve">Paramétrage client</w:t>
      </w:r>
    </w:p>
    <w:p>
      <w:pPr>
        <w:shd w:fill="667EEA" w:val="clear"/>
        <w:spacing w:after="1440"/>
        <w:jc w:val="center"/>
      </w:pPr>
      <w:r>
        <w:rPr>
          <w:rFonts w:ascii="Arial" w:cs="Arial" w:eastAsia="Arial" w:hAnsi="Arial"/>
          <w:color w:val="E0E7FF"/>
          <w:sz w:val="26"/>
          <w:szCs w:val="26"/>
        </w:rPr>
        <w:t xml:space="preserve">Guide utilisateur — Interface de configuration</w:t>
      </w:r>
    </w:p>
    <w:p>
      <w:r>
        <w:br w:type="page"/>
      </w:r>
    </w:p>
    <w:p>
      <w:pPr>
        <w:pStyle w:val="Heading1"/>
        <w:spacing w:before="360" w:after="200"/>
      </w:pPr>
      <w:r>
        <w:rPr>
          <w:rFonts w:ascii="Arial" w:cs="Arial" w:eastAsia="Arial" w:hAnsi="Arial"/>
          <w:b/>
          <w:bCs/>
          <w:color w:val="667EEA"/>
          <w:sz w:val="36"/>
          <w:szCs w:val="36"/>
        </w:rPr>
        <w:t xml:space="preserve">Accéder aux paramètres</w:t>
      </w:r>
    </w:p>
    <w:p>
      <w:pPr>
        <w:spacing w:after="160"/>
      </w:pPr>
      <w:r>
        <w:rPr>
          <w:rFonts w:ascii="Arial" w:cs="Arial" w:eastAsia="Arial" w:hAnsi="Arial"/>
          <w:color w:val="1F2937"/>
          <w:sz w:val="22"/>
          <w:szCs w:val="22"/>
        </w:rPr>
        <w:t xml:space="preserve">Les paramètres sont accessibles depuis le menu utilisateur en haut à droite de l'application.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"/>
        <w:gridCol w:w="896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667EEA"/>
                <w:sz w:val="28"/>
                <w:szCs w:val="28"/>
              </w:rPr>
              <w:t xml:space="preserve">1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60"/>
              <w:bottom w:type="dxa" w:w="80"/>
              <w:right w:type="dxa" w:w="0"/>
            </w:tcMar>
          </w:tcPr>
          <w:p>
            <w:r>
              <w:rPr>
                <w:rFonts w:ascii="Arial" w:cs="Arial" w:eastAsia="Arial" w:hAnsi="Arial"/>
                <w:color w:val="1F2937"/>
                <w:sz w:val="22"/>
                <w:szCs w:val="22"/>
              </w:rPr>
              <w:t xml:space="preserve">Cliquer sur votre avatar (initiales) en haut à droite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667EEA"/>
                <w:sz w:val="28"/>
                <w:szCs w:val="28"/>
              </w:rPr>
              <w:t xml:space="preserve">2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60"/>
              <w:bottom w:type="dxa" w:w="80"/>
              <w:right w:type="dxa" w:w="0"/>
            </w:tcMar>
          </w:tcPr>
          <w:p>
            <w:r>
              <w:rPr>
                <w:rFonts w:ascii="Arial" w:cs="Arial" w:eastAsia="Arial" w:hAnsi="Arial"/>
                <w:color w:val="1F2937"/>
                <w:sz w:val="22"/>
                <w:szCs w:val="22"/>
              </w:rPr>
              <w:t xml:space="preserve">Dans le menu déroulant, sélectionner ⚙️ Paramètres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667EEA"/>
                <w:sz w:val="28"/>
                <w:szCs w:val="28"/>
              </w:rPr>
              <w:t xml:space="preserve">3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60"/>
              <w:bottom w:type="dxa" w:w="80"/>
              <w:right w:type="dxa" w:w="0"/>
            </w:tcMar>
          </w:tcPr>
          <w:p>
            <w:r>
              <w:rPr>
                <w:rFonts w:ascii="Arial" w:cs="Arial" w:eastAsia="Arial" w:hAnsi="Arial"/>
                <w:color w:val="1F2937"/>
                <w:sz w:val="22"/>
                <w:szCs w:val="22"/>
              </w:rPr>
              <w:t xml:space="preserve">La page de paramètres s'affiche avec toutes les options disponibles</w:t>
            </w:r>
          </w:p>
        </w:tc>
      </w:tr>
    </w:tbl>
    <w:p>
      <w:pPr>
        <w:spacing w:after="100"/>
      </w:pPr>
      <w:r>
        <w:t xml:space="preserve"/>
      </w:r>
    </w:p>
    <w:p>
      <w:pPr>
        <w:spacing w:after="100"/>
      </w:pPr>
      <w:r>
        <w:t xml:space="preserve"/>
      </w:r>
    </w:p>
    <w:p>
      <w:pPr>
        <w:pStyle w:val="Heading1"/>
        <w:spacing w:before="360" w:after="200"/>
      </w:pPr>
      <w:r>
        <w:rPr>
          <w:rFonts w:ascii="Arial" w:cs="Arial" w:eastAsia="Arial" w:hAnsi="Arial"/>
          <w:b/>
          <w:bCs/>
          <w:color w:val="667EEA"/>
          <w:sz w:val="36"/>
          <w:szCs w:val="36"/>
        </w:rPr>
        <w:t xml:space="preserve">Section Identité</w:t>
      </w:r>
    </w:p>
    <w:p>
      <w:pPr>
        <w:spacing w:after="160"/>
      </w:pPr>
      <w:r>
        <w:rPr>
          <w:rFonts w:ascii="Arial" w:cs="Arial" w:eastAsia="Arial" w:hAnsi="Arial"/>
          <w:color w:val="1F2937"/>
          <w:sz w:val="22"/>
          <w:szCs w:val="22"/>
        </w:rPr>
        <w:t xml:space="preserve">Personnalisez le nom affiché dans le header et le sous-titre descriptif de l'application.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667EE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Champ</w:t>
            </w:r>
          </w:p>
        </w:tc>
        <w:tc>
          <w:tcPr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667EE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Description</w:t>
            </w:r>
          </w:p>
        </w:tc>
      </w:tr>
      <w:tr>
        <w:tc>
          <w:tcPr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3F4F6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color w:val="1F2937"/>
                <w:sz w:val="22"/>
                <w:szCs w:val="22"/>
              </w:rPr>
              <w:t xml:space="preserve">Nom de l'application</w:t>
            </w:r>
          </w:p>
        </w:tc>
        <w:tc>
          <w:tcPr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3F4F6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color w:val="1F2937"/>
                <w:sz w:val="22"/>
                <w:szCs w:val="22"/>
              </w:rPr>
              <w:t xml:space="preserve">Affiché dans le header et dans le titre du navigateur. 100 caractères max.</w:t>
            </w:r>
          </w:p>
        </w:tc>
      </w:tr>
      <w:tr>
        <w:tc>
          <w:tcPr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color w:val="1F2937"/>
                <w:sz w:val="22"/>
                <w:szCs w:val="22"/>
              </w:rPr>
              <w:t xml:space="preserve">Sous-titre</w:t>
            </w:r>
          </w:p>
        </w:tc>
        <w:tc>
          <w:tcPr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color w:val="1F2937"/>
                <w:sz w:val="22"/>
                <w:szCs w:val="22"/>
              </w:rPr>
              <w:t xml:space="preserve">Texte descriptif sous le nom, visible sur écran large. 200 caractères max.</w:t>
            </w:r>
          </w:p>
        </w:tc>
      </w:tr>
    </w:tbl>
    <w:p>
      <w:pPr>
        <w:spacing w:after="100"/>
      </w:pPr>
      <w:r>
        <w:t xml:space="preserve"/>
      </w:r>
    </w:p>
    <w:p>
      <w:pPr>
        <w:spacing w:after="100"/>
      </w:pPr>
      <w:r>
        <w:t xml:space="preserve"/>
      </w:r>
    </w:p>
    <w:p>
      <w:pPr>
        <w:pStyle w:val="Heading1"/>
        <w:spacing w:before="360" w:after="200"/>
      </w:pPr>
      <w:r>
        <w:rPr>
          <w:rFonts w:ascii="Arial" w:cs="Arial" w:eastAsia="Arial" w:hAnsi="Arial"/>
          <w:b/>
          <w:bCs/>
          <w:color w:val="667EEA"/>
          <w:sz w:val="36"/>
          <w:szCs w:val="36"/>
        </w:rPr>
        <w:t xml:space="preserve">Section Logo</w:t>
      </w:r>
    </w:p>
    <w:p>
      <w:pPr>
        <w:spacing w:after="160"/>
      </w:pPr>
      <w:r>
        <w:rPr>
          <w:rFonts w:ascii="Arial" w:cs="Arial" w:eastAsia="Arial" w:hAnsi="Arial"/>
          <w:color w:val="1F2937"/>
          <w:sz w:val="22"/>
          <w:szCs w:val="22"/>
        </w:rPr>
        <w:t xml:space="preserve">Uploadez un logo qui s'affichera à gauche du nom de l'application dans le header.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color w:val="1F2937"/>
          <w:sz w:val="22"/>
          <w:szCs w:val="22"/>
        </w:rPr>
        <w:t xml:space="preserve">Formats acceptés : PNG, JPG, WebP, SVG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color w:val="1F2937"/>
          <w:sz w:val="22"/>
          <w:szCs w:val="22"/>
        </w:rPr>
        <w:t xml:space="preserve">Taille maximale : 2 Mo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color w:val="1F2937"/>
          <w:sz w:val="22"/>
          <w:szCs w:val="22"/>
        </w:rPr>
        <w:t xml:space="preserve">Dimensions recommandées : hauteur 40–80px, fond transparent (PNG ou SVG de préférence)</w:t>
      </w:r>
    </w:p>
    <w:p>
      <w:pPr>
        <w:spacing w:after="100"/>
      </w:pPr>
      <w:r>
        <w:t xml:space="preserve"/>
      </w:r>
    </w:p>
    <w:p>
      <w:pPr>
        <w:spacing w:after="160"/>
      </w:pPr>
      <w:r>
        <w:rPr>
          <w:rFonts w:ascii="Arial" w:cs="Arial" w:eastAsia="Arial" w:hAnsi="Arial"/>
          <w:color w:val="1F2937"/>
          <w:sz w:val="22"/>
          <w:szCs w:val="22"/>
        </w:rPr>
        <w:t xml:space="preserve">Pour supprimer le logo existant, cliquer sur le bouton 🗑️ Supprimer. Le nom de l'application redevient alors le seul élément visible dans le header.</w:t>
      </w:r>
    </w:p>
    <w:p>
      <w:pPr>
        <w:pBdr>
          <w:left w:val="single" w:color="10B981" w:sz="16"/>
        </w:pBdr>
        <w:shd w:fill="ECFDF5" w:val="clear"/>
        <w:spacing w:before="120" w:after="200"/>
        <w:ind w:left="360" w:right="360"/>
      </w:pPr>
      <w:r>
        <w:rPr>
          <w:rFonts w:ascii="Arial" w:cs="Arial" w:eastAsia="Arial" w:hAnsi="Arial"/>
          <w:sz w:val="22"/>
          <w:szCs w:val="22"/>
        </w:rPr>
        <w:t xml:space="preserve">✅  </w:t>
      </w:r>
      <w:r>
        <w:rPr>
          <w:rFonts w:ascii="Arial" w:cs="Arial" w:eastAsia="Arial" w:hAnsi="Arial"/>
          <w:color w:val="1F2937"/>
          <w:sz w:val="22"/>
          <w:szCs w:val="22"/>
        </w:rPr>
        <w:t xml:space="preserve">Un logo SVG est recommandé : il s'adapte à toutes les résolutions sans perte de qualité.</w:t>
      </w:r>
    </w:p>
    <w:p>
      <w:pPr>
        <w:spacing w:after="100"/>
      </w:pPr>
      <w:r>
        <w:t xml:space="preserve"/>
      </w:r>
    </w:p>
    <w:p>
      <w:pPr>
        <w:spacing w:after="100"/>
      </w:pPr>
      <w:r>
        <w:t xml:space="preserve"/>
      </w:r>
    </w:p>
    <w:p>
      <w:pPr>
        <w:pStyle w:val="Heading1"/>
        <w:spacing w:before="360" w:after="200"/>
      </w:pPr>
      <w:r>
        <w:rPr>
          <w:rFonts w:ascii="Arial" w:cs="Arial" w:eastAsia="Arial" w:hAnsi="Arial"/>
          <w:b/>
          <w:bCs/>
          <w:color w:val="667EEA"/>
          <w:sz w:val="36"/>
          <w:szCs w:val="36"/>
        </w:rPr>
        <w:t xml:space="preserve">Section Thème</w:t>
      </w:r>
    </w:p>
    <w:p>
      <w:pPr>
        <w:spacing w:after="160"/>
      </w:pPr>
      <w:r>
        <w:rPr>
          <w:rFonts w:ascii="Arial" w:cs="Arial" w:eastAsia="Arial" w:hAnsi="Arial"/>
          <w:color w:val="1F2937"/>
          <w:sz w:val="22"/>
          <w:szCs w:val="22"/>
        </w:rPr>
        <w:t xml:space="preserve">Définissez les deux couleurs principales de l'interface. Elles s'appliquent immédiatement en aperçu sans rechargement de page.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667EE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Couleur</w:t>
            </w:r>
          </w:p>
        </w:tc>
        <w:tc>
          <w:tcPr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667EE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Où elle est utilisée</w:t>
            </w:r>
          </w:p>
        </w:tc>
      </w:tr>
      <w:tr>
        <w:tc>
          <w:tcPr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3F4F6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color w:val="1F2937"/>
                <w:sz w:val="22"/>
                <w:szCs w:val="22"/>
              </w:rPr>
              <w:t xml:space="preserve">Couleur primaire</w:t>
            </w:r>
          </w:p>
        </w:tc>
        <w:tc>
          <w:tcPr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3F4F6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color w:val="1F2937"/>
                <w:sz w:val="22"/>
                <w:szCs w:val="22"/>
              </w:rPr>
              <w:t xml:space="preserve">Boutons actifs, liens, indicateurs de sélection, spinner de chargement</w:t>
            </w:r>
          </w:p>
        </w:tc>
      </w:tr>
      <w:tr>
        <w:tc>
          <w:tcPr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color w:val="1F2937"/>
                <w:sz w:val="22"/>
                <w:szCs w:val="22"/>
              </w:rPr>
              <w:t xml:space="preserve">Couleur secondaire</w:t>
            </w:r>
          </w:p>
        </w:tc>
        <w:tc>
          <w:tcPr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color w:val="1F2937"/>
                <w:sz w:val="22"/>
                <w:szCs w:val="22"/>
              </w:rPr>
              <w:t xml:space="preserve">Dégradés (avatar, bouton principal, welcome card), accentuation</w:t>
            </w:r>
          </w:p>
        </w:tc>
      </w:tr>
    </w:tbl>
    <w:p>
      <w:pPr>
        <w:spacing w:after="100"/>
      </w:pPr>
      <w:r>
        <w:t xml:space="preserve"/>
      </w:r>
    </w:p>
    <w:p>
      <w:pPr>
        <w:spacing w:after="160"/>
      </w:pPr>
      <w:r>
        <w:rPr>
          <w:rFonts w:ascii="Arial" w:cs="Arial" w:eastAsia="Arial" w:hAnsi="Arial"/>
          <w:color w:val="1F2937"/>
          <w:sz w:val="22"/>
          <w:szCs w:val="22"/>
        </w:rPr>
        <w:t xml:space="preserve">Deux modes de saisie sont disponibles pour chaque couleur :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color w:val="1F2937"/>
          <w:sz w:val="22"/>
          <w:szCs w:val="22"/>
        </w:rPr>
        <w:t xml:space="preserve">Sélecteur visuel (color picker) — cliquer sur le carré coloré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color w:val="1F2937"/>
          <w:sz w:val="22"/>
          <w:szCs w:val="22"/>
        </w:rPr>
        <w:t xml:space="preserve">Code hexadécimal — saisir directement (ex : #667eea)</w:t>
      </w:r>
    </w:p>
    <w:p>
      <w:pPr>
        <w:spacing w:after="100"/>
      </w:pPr>
      <w:r>
        <w:t xml:space="preserve"/>
      </w:r>
    </w:p>
    <w:p>
      <w:pPr>
        <w:pBdr>
          <w:left w:val="single" w:color="F59E0B" w:sz="16"/>
        </w:pBdr>
        <w:shd w:fill="FFFBEB" w:val="clear"/>
        <w:spacing w:before="120" w:after="200"/>
        <w:ind w:left="360" w:right="360"/>
      </w:pPr>
      <w:r>
        <w:rPr>
          <w:rFonts w:ascii="Arial" w:cs="Arial" w:eastAsia="Arial" w:hAnsi="Arial"/>
          <w:sz w:val="22"/>
          <w:szCs w:val="22"/>
        </w:rPr>
        <w:t xml:space="preserve">⚠️  </w:t>
      </w:r>
      <w:r>
        <w:rPr>
          <w:rFonts w:ascii="Arial" w:cs="Arial" w:eastAsia="Arial" w:hAnsi="Arial"/>
          <w:i/>
          <w:iCs/>
          <w:color w:val="1F2937"/>
          <w:sz w:val="22"/>
          <w:szCs w:val="22"/>
        </w:rPr>
        <w:t xml:space="preserve">Les couleurs sont appliquées immédiatement dans l'aperçu. Cliquer sur Sauvegarder pour les rendre permanentes.</w:t>
      </w:r>
    </w:p>
    <w:p>
      <w:pPr>
        <w:spacing w:after="100"/>
      </w:pPr>
      <w:r>
        <w:t xml:space="preserve"/>
      </w:r>
    </w:p>
    <w:p>
      <w:pPr>
        <w:spacing w:after="100"/>
      </w:pPr>
      <w:r>
        <w:t xml:space="preserve"/>
      </w:r>
    </w:p>
    <w:p>
      <w:pPr>
        <w:pStyle w:val="Heading1"/>
        <w:spacing w:before="360" w:after="200"/>
      </w:pPr>
      <w:r>
        <w:rPr>
          <w:rFonts w:ascii="Arial" w:cs="Arial" w:eastAsia="Arial" w:hAnsi="Arial"/>
          <w:b/>
          <w:bCs/>
          <w:color w:val="667EEA"/>
          <w:sz w:val="36"/>
          <w:szCs w:val="36"/>
        </w:rPr>
        <w:t xml:space="preserve">Section Modules actifs</w:t>
      </w:r>
    </w:p>
    <w:p>
      <w:pPr>
        <w:spacing w:after="160"/>
      </w:pPr>
      <w:r>
        <w:rPr>
          <w:rFonts w:ascii="Arial" w:cs="Arial" w:eastAsia="Arial" w:hAnsi="Arial"/>
          <w:color w:val="1F2937"/>
          <w:sz w:val="22"/>
          <w:szCs w:val="22"/>
        </w:rPr>
        <w:t xml:space="preserve">Sélectionnez les modules que vous souhaitez voir apparaître dans la navigation. Les modules décochés sont masqués mais leurs données sont conservées.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2400"/>
        <w:gridCol w:w="5760"/>
      </w:tblGrid>
      <w:tr>
        <w:tc>
          <w:tcPr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667EE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Icône</w:t>
            </w:r>
          </w:p>
        </w:tc>
        <w:tc>
          <w:tcPr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667EE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Module</w:t>
            </w:r>
          </w:p>
        </w:tc>
        <w:tc>
          <w:tcPr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667EE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Description</w:t>
            </w:r>
          </w:p>
        </w:tc>
      </w:tr>
      <w:tr>
        <w:tc>
          <w:tcPr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3F4F6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color w:val="1F2937"/>
                <w:sz w:val="28"/>
                <w:szCs w:val="28"/>
              </w:rPr>
              <w:t xml:space="preserve">📊</w:t>
            </w:r>
          </w:p>
        </w:tc>
        <w:tc>
          <w:tcPr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3F4F6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color w:val="1F2937"/>
                <w:sz w:val="22"/>
                <w:szCs w:val="22"/>
              </w:rPr>
              <w:t xml:space="preserve">Dashboard</w:t>
            </w:r>
          </w:p>
        </w:tc>
        <w:tc>
          <w:tcPr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3F4F6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color w:val="1F2937"/>
                <w:sz w:val="22"/>
                <w:szCs w:val="22"/>
              </w:rPr>
              <w:t xml:space="preserve">Vue d'ensemble avec graphiques, KPIs et statistiques de l'activité</w:t>
            </w:r>
          </w:p>
        </w:tc>
      </w:tr>
      <w:tr>
        <w:tc>
          <w:tcPr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color w:val="1F2937"/>
                <w:sz w:val="28"/>
                <w:szCs w:val="28"/>
              </w:rPr>
              <w:t xml:space="preserve">📋</w:t>
            </w:r>
          </w:p>
        </w:tc>
        <w:tc>
          <w:tcPr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color w:val="1F2937"/>
                <w:sz w:val="22"/>
                <w:szCs w:val="22"/>
              </w:rPr>
              <w:t xml:space="preserve">Suivi des Étapes</w:t>
            </w:r>
          </w:p>
        </w:tc>
        <w:tc>
          <w:tcPr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color w:val="1F2937"/>
                <w:sz w:val="22"/>
                <w:szCs w:val="22"/>
              </w:rPr>
              <w:t xml:space="preserve">Kanban avec drag &amp; drop, statuts personnalisables et filtres avancés</w:t>
            </w:r>
          </w:p>
        </w:tc>
      </w:tr>
      <w:tr>
        <w:tc>
          <w:tcPr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3F4F6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color w:val="1F2937"/>
                <w:sz w:val="28"/>
                <w:szCs w:val="28"/>
              </w:rPr>
              <w:t xml:space="preserve">📅</w:t>
            </w:r>
          </w:p>
        </w:tc>
        <w:tc>
          <w:tcPr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3F4F6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color w:val="1F2937"/>
                <w:sz w:val="22"/>
                <w:szCs w:val="22"/>
              </w:rPr>
              <w:t xml:space="preserve">Calendrier</w:t>
            </w:r>
          </w:p>
        </w:tc>
        <w:tc>
          <w:tcPr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3F4F6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color w:val="1F2937"/>
                <w:sz w:val="22"/>
                <w:szCs w:val="22"/>
              </w:rPr>
              <w:t xml:space="preserve">Visualisation des échéances et planification des étapes en cours</w:t>
            </w:r>
          </w:p>
        </w:tc>
      </w:tr>
      <w:tr>
        <w:tc>
          <w:tcPr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color w:val="1F2937"/>
                <w:sz w:val="28"/>
                <w:szCs w:val="28"/>
              </w:rPr>
              <w:t xml:space="preserve">💰</w:t>
            </w:r>
          </w:p>
        </w:tc>
        <w:tc>
          <w:tcPr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color w:val="1F2937"/>
                <w:sz w:val="22"/>
                <w:szCs w:val="22"/>
              </w:rPr>
              <w:t xml:space="preserve">Finances</w:t>
            </w:r>
          </w:p>
        </w:tc>
        <w:tc>
          <w:tcPr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color w:val="1F2937"/>
                <w:sz w:val="22"/>
                <w:szCs w:val="22"/>
              </w:rPr>
              <w:t xml:space="preserve">Suivi des transactions, budget et trésorerie avec graphiques</w:t>
            </w:r>
          </w:p>
        </w:tc>
      </w:tr>
    </w:tbl>
    <w:p>
      <w:pPr>
        <w:spacing w:after="100"/>
      </w:pPr>
      <w:r>
        <w:t xml:space="preserve"/>
      </w:r>
    </w:p>
    <w:p>
      <w:pPr>
        <w:pBdr>
          <w:left w:val="single" w:color="F59E0B" w:sz="16"/>
        </w:pBdr>
        <w:shd w:fill="FFFBEB" w:val="clear"/>
        <w:spacing w:before="120" w:after="200"/>
        <w:ind w:left="360" w:right="360"/>
      </w:pPr>
      <w:r>
        <w:rPr>
          <w:rFonts w:ascii="Arial" w:cs="Arial" w:eastAsia="Arial" w:hAnsi="Arial"/>
          <w:sz w:val="22"/>
          <w:szCs w:val="22"/>
        </w:rPr>
        <w:t xml:space="preserve">⚠️  </w:t>
      </w:r>
      <w:r>
        <w:rPr>
          <w:rFonts w:ascii="Arial" w:cs="Arial" w:eastAsia="Arial" w:hAnsi="Arial"/>
          <w:i/>
          <w:iCs/>
          <w:color w:val="1F2937"/>
          <w:sz w:val="22"/>
          <w:szCs w:val="22"/>
        </w:rPr>
        <w:t xml:space="preserve">Au moins un module doit rester actif. Si tous les modules sont décochés, la configuration conserve les modules par défaut.</w:t>
      </w:r>
    </w:p>
    <w:p>
      <w:pPr>
        <w:spacing w:after="100"/>
      </w:pPr>
      <w:r>
        <w:t xml:space="preserve"/>
      </w:r>
    </w:p>
    <w:p>
      <w:pPr>
        <w:spacing w:after="100"/>
      </w:pPr>
      <w:r>
        <w:t xml:space="preserve"/>
      </w:r>
    </w:p>
    <w:p>
      <w:pPr>
        <w:pStyle w:val="Heading1"/>
        <w:spacing w:before="360" w:after="200"/>
      </w:pPr>
      <w:r>
        <w:rPr>
          <w:rFonts w:ascii="Arial" w:cs="Arial" w:eastAsia="Arial" w:hAnsi="Arial"/>
          <w:b/>
          <w:bCs/>
          <w:color w:val="667EEA"/>
          <w:sz w:val="36"/>
          <w:szCs w:val="36"/>
        </w:rPr>
        <w:t xml:space="preserve">Sauvegarder les modifications</w:t>
      </w:r>
    </w:p>
    <w:p>
      <w:pPr>
        <w:spacing w:after="160"/>
      </w:pPr>
      <w:r>
        <w:rPr>
          <w:rFonts w:ascii="Arial" w:cs="Arial" w:eastAsia="Arial" w:hAnsi="Arial"/>
          <w:color w:val="1F2937"/>
          <w:sz w:val="22"/>
          <w:szCs w:val="22"/>
        </w:rPr>
        <w:t xml:space="preserve">La barre d'actions en bas de page (fixe, toujours visible) propose deux actions 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560"/>
      </w:tblGrid>
      <w:tr>
        <w:tc>
          <w:tcPr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667EE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Bouton</w:t>
            </w:r>
          </w:p>
        </w:tc>
        <w:tc>
          <w:tcPr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667EE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Effet</w:t>
            </w:r>
          </w:p>
        </w:tc>
      </w:tr>
      <w:tr>
        <w:tc>
          <w:tcPr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3F4F6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color w:val="1F2937"/>
                <w:sz w:val="22"/>
                <w:szCs w:val="22"/>
              </w:rPr>
              <w:t xml:space="preserve">💾 Sauvegarder</w:t>
            </w:r>
          </w:p>
        </w:tc>
        <w:tc>
          <w:tcPr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3F4F6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color w:val="1F2937"/>
                <w:sz w:val="22"/>
                <w:szCs w:val="22"/>
              </w:rPr>
              <w:t xml:space="preserve">Enregistre toutes les modifications (identité, couleurs, modules). La navigation se met à jour immédiatement.</w:t>
            </w:r>
          </w:p>
        </w:tc>
      </w:tr>
      <w:tr>
        <w:tc>
          <w:tcPr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color w:val="1F2937"/>
                <w:sz w:val="22"/>
                <w:szCs w:val="22"/>
              </w:rPr>
              <w:t xml:space="preserve">🔄 Réinitialiser</w:t>
            </w:r>
          </w:p>
        </w:tc>
        <w:tc>
          <w:tcPr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color w:val="1F2937"/>
                <w:sz w:val="22"/>
                <w:szCs w:val="22"/>
              </w:rPr>
              <w:t xml:space="preserve">Remet tous les paramètres aux valeurs par défaut de l'application. Une confirmation est demandée.</w:t>
            </w:r>
          </w:p>
        </w:tc>
      </w:tr>
    </w:tbl>
    <w:p>
      <w:pPr>
        <w:spacing w:after="100"/>
      </w:pPr>
      <w:r>
        <w:t xml:space="preserve"/>
      </w:r>
    </w:p>
    <w:p>
      <w:pPr>
        <w:spacing w:after="100"/>
      </w:pPr>
      <w:r>
        <w:t xml:space="preserve"/>
      </w:r>
    </w:p>
    <w:p>
      <w:pPr>
        <w:pStyle w:val="Heading1"/>
        <w:spacing w:before="360" w:after="200"/>
      </w:pPr>
      <w:r>
        <w:rPr>
          <w:rFonts w:ascii="Arial" w:cs="Arial" w:eastAsia="Arial" w:hAnsi="Arial"/>
          <w:b/>
          <w:bCs/>
          <w:color w:val="667EEA"/>
          <w:sz w:val="36"/>
          <w:szCs w:val="36"/>
        </w:rPr>
        <w:t xml:space="preserve">Section Administration (ROLE_ADMIN uniquement)</w:t>
      </w:r>
    </w:p>
    <w:p>
      <w:pPr>
        <w:spacing w:after="160"/>
      </w:pPr>
      <w:r>
        <w:rPr>
          <w:rFonts w:ascii="Arial" w:cs="Arial" w:eastAsia="Arial" w:hAnsi="Arial"/>
          <w:color w:val="1F2937"/>
          <w:sz w:val="22"/>
          <w:szCs w:val="22"/>
        </w:rPr>
        <w:t xml:space="preserve">Cette section n'est visible que pour les comptes administrateurs. Elle permet de gérer la configuration de chaque client sans se connecter à leur compte.</w:t>
      </w:r>
    </w:p>
    <w:p>
      <w:pPr>
        <w:pStyle w:val="Heading2"/>
        <w:pBdr>
          <w:bottom w:val="single" w:color="E5E7EB" w:sz="4"/>
        </w:pBdr>
        <w:spacing w:before="300" w:after="160"/>
      </w:pPr>
      <w:r>
        <w:rPr>
          <w:rFonts w:ascii="Arial" w:cs="Arial" w:eastAsia="Arial" w:hAnsi="Arial"/>
          <w:b/>
          <w:bCs/>
          <w:color w:val="1F2937"/>
          <w:sz w:val="28"/>
          <w:szCs w:val="28"/>
        </w:rPr>
        <w:t xml:space="preserve">Modifier la config d'un client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rFonts w:ascii="Arial" w:cs="Arial" w:eastAsia="Arial" w:hAnsi="Arial"/>
          <w:color w:val="1F2937"/>
          <w:sz w:val="22"/>
          <w:szCs w:val="22"/>
        </w:rPr>
        <w:t xml:space="preserve">Dans la liste des clients, cliquer sur la ligne du client à modifier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rFonts w:ascii="Arial" w:cs="Arial" w:eastAsia="Arial" w:hAnsi="Arial"/>
          <w:color w:val="1F2937"/>
          <w:sz w:val="22"/>
          <w:szCs w:val="22"/>
        </w:rPr>
        <w:t xml:space="preserve">Le panneau d'édition s'ouvre sous la liste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rFonts w:ascii="Arial" w:cs="Arial" w:eastAsia="Arial" w:hAnsi="Arial"/>
          <w:color w:val="1F2937"/>
          <w:sz w:val="22"/>
          <w:szCs w:val="22"/>
        </w:rPr>
        <w:t xml:space="preserve">Modifier les champs souhaités (nom, couleurs, modules actifs)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rFonts w:ascii="Arial" w:cs="Arial" w:eastAsia="Arial" w:hAnsi="Arial"/>
          <w:color w:val="1F2937"/>
          <w:sz w:val="22"/>
          <w:szCs w:val="22"/>
        </w:rPr>
        <w:t xml:space="preserve">Cliquer sur 💾 Sauvegarder pour ce client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rFonts w:ascii="Arial" w:cs="Arial" w:eastAsia="Arial" w:hAnsi="Arial"/>
          <w:color w:val="1F2937"/>
          <w:sz w:val="22"/>
          <w:szCs w:val="22"/>
        </w:rPr>
        <w:t xml:space="preserve">Les modifications prennent effet au prochain chargement de l'app par le client</w:t>
      </w:r>
    </w:p>
    <w:p>
      <w:pPr>
        <w:spacing w:after="100"/>
      </w:pPr>
      <w:r>
        <w:t xml:space="preserve"/>
      </w:r>
    </w:p>
    <w:p>
      <w:pPr>
        <w:pBdr>
          <w:left w:val="single" w:color="10B981" w:sz="16"/>
        </w:pBdr>
        <w:shd w:fill="ECFDF5" w:val="clear"/>
        <w:spacing w:before="120" w:after="200"/>
        <w:ind w:left="360" w:right="360"/>
      </w:pPr>
      <w:r>
        <w:rPr>
          <w:rFonts w:ascii="Arial" w:cs="Arial" w:eastAsia="Arial" w:hAnsi="Arial"/>
          <w:sz w:val="22"/>
          <w:szCs w:val="22"/>
        </w:rPr>
        <w:t xml:space="preserve">✅  </w:t>
      </w:r>
      <w:r>
        <w:rPr>
          <w:rFonts w:ascii="Arial" w:cs="Arial" w:eastAsia="Arial" w:hAnsi="Arial"/>
          <w:color w:val="1F2937"/>
          <w:sz w:val="22"/>
          <w:szCs w:val="22"/>
        </w:rPr>
        <w:t xml:space="preserve">Le logo d'un client ne peut pas être modifié depuis l'interface admin. Le client doit l'uploader lui-même depuis ses propres paramètres.</w:t>
      </w:r>
    </w:p>
    <w:p>
      <w:pPr>
        <w:pStyle w:val="Heading2"/>
        <w:pBdr>
          <w:bottom w:val="single" w:color="E5E7EB" w:sz="4"/>
        </w:pBdr>
        <w:spacing w:before="300" w:after="160"/>
      </w:pPr>
      <w:r>
        <w:rPr>
          <w:rFonts w:ascii="Arial" w:cs="Arial" w:eastAsia="Arial" w:hAnsi="Arial"/>
          <w:b/>
          <w:bCs/>
          <w:color w:val="1F2937"/>
          <w:sz w:val="28"/>
          <w:szCs w:val="28"/>
        </w:rPr>
        <w:t xml:space="preserve">Promouvoir un compte en administrateur</w:t>
      </w:r>
    </w:p>
    <w:p>
      <w:pPr>
        <w:spacing w:after="160"/>
      </w:pPr>
      <w:r>
        <w:rPr>
          <w:rFonts w:ascii="Arial" w:cs="Arial" w:eastAsia="Arial" w:hAnsi="Arial"/>
          <w:color w:val="1F2937"/>
          <w:sz w:val="22"/>
          <w:szCs w:val="22"/>
        </w:rPr>
        <w:t xml:space="preserve">La promotion en admin ne se fait pas depuis l'interface — elle nécessite un accès base de données :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-- En SQL directement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UPDATE user SET roles = '["ROLE_ADMIN"]' WHERE email = 'admin@exemple.com';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/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-- Ou via la console Symfony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php bin/console doctrine:query:sql "UPDATE user SET roles = '[\"ROLE_ADMIN\"]' WHERE email = 'admin@exemple.com'"</w:t>
      </w:r>
    </w:p>
    <w:p>
      <w:pPr>
        <w:pBdr>
          <w:left w:val="single" w:color="F59E0B" w:sz="16"/>
        </w:pBdr>
        <w:shd w:fill="FFFBEB" w:val="clear"/>
        <w:spacing w:before="120" w:after="200"/>
        <w:ind w:left="360" w:right="360"/>
      </w:pPr>
      <w:r>
        <w:rPr>
          <w:rFonts w:ascii="Arial" w:cs="Arial" w:eastAsia="Arial" w:hAnsi="Arial"/>
          <w:sz w:val="22"/>
          <w:szCs w:val="22"/>
        </w:rPr>
        <w:t xml:space="preserve">⚠️  </w:t>
      </w:r>
      <w:r>
        <w:rPr>
          <w:rFonts w:ascii="Arial" w:cs="Arial" w:eastAsia="Arial" w:hAnsi="Arial"/>
          <w:i/>
          <w:iCs/>
          <w:color w:val="1F2937"/>
          <w:sz w:val="22"/>
          <w:szCs w:val="22"/>
        </w:rPr>
        <w:t xml:space="preserve">Un administrateur a accès à la configuration de tous les clients. Accorder ce rôle avec parcimonie.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200"/>
      <w:outlineLvl w:val="0"/>
    </w:pPr>
    <w:rPr>
      <w:rFonts w:ascii="Arial" w:cs="Arial" w:eastAsia="Arial" w:hAnsi="Arial"/>
      <w:b/>
      <w:bCs/>
      <w:color w:val="667EEA"/>
      <w:sz w:val="36"/>
      <w:szCs w:val="36"/>
    </w:rPr>
  </w:style>
  <w:style w:type="paragraph" w:styleId="Heading2">
    <w:name w:val="Heading 2"/>
    <w:basedOn w:val="Normal"/>
    <w:next w:val="Normal"/>
    <w:qFormat/>
    <w:pPr>
      <w:spacing w:before="300" w:after="160"/>
      <w:outlineLvl w:val="1"/>
    </w:pPr>
    <w:rPr>
      <w:rFonts w:ascii="Arial" w:cs="Arial" w:eastAsia="Arial" w:hAnsi="Arial"/>
      <w:b/>
      <w:bCs/>
      <w:color w:val="1F2937"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40" w:after="120"/>
      <w:outlineLvl w:val="2"/>
    </w:pPr>
    <w:rPr>
      <w:rFonts w:ascii="Arial" w:cs="Arial" w:eastAsia="Arial" w:hAnsi="Arial"/>
      <w:b/>
      <w:bCs/>
      <w:color w:val="764BA2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2026-03-08T11:43:59.754Z</dcterms:created>
  <dcterms:modified xsi:type="dcterms:W3CDTF">2026-03-08T11:43:59.754Z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